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CD" w:rsidRPr="00C82393" w:rsidRDefault="00C82393" w:rsidP="009A08CD">
      <w:pPr>
        <w:jc w:val="center"/>
        <w:rPr>
          <w:rFonts w:ascii="標楷體" w:eastAsia="標楷體" w:hAnsi="標楷體"/>
          <w:sz w:val="40"/>
          <w:szCs w:val="150"/>
        </w:rPr>
      </w:pPr>
      <w:bookmarkStart w:id="0" w:name="_GoBack"/>
      <w:bookmarkEnd w:id="0"/>
      <w:r w:rsidRPr="00C82393">
        <w:rPr>
          <w:rFonts w:ascii="標楷體" w:eastAsia="標楷體" w:hAnsi="標楷體" w:hint="eastAsia"/>
          <w:sz w:val="40"/>
          <w:szCs w:val="150"/>
        </w:rPr>
        <w:t>龍肚國中性別平等教育實施計畫</w:t>
      </w:r>
    </w:p>
    <w:p w:rsidR="00C82393" w:rsidRDefault="00C82393" w:rsidP="00C82393">
      <w:pPr>
        <w:jc w:val="right"/>
        <w:rPr>
          <w:rFonts w:ascii="標楷體" w:eastAsia="標楷體" w:hAnsi="標楷體"/>
        </w:rPr>
      </w:pPr>
      <w:r w:rsidRPr="00C82393">
        <w:rPr>
          <w:rFonts w:ascii="標楷體" w:eastAsia="標楷體" w:hAnsi="標楷體" w:hint="eastAsia"/>
        </w:rPr>
        <w:t>109年2月24日校務會議通過</w:t>
      </w:r>
    </w:p>
    <w:p w:rsidR="00851D64" w:rsidRDefault="00851D64" w:rsidP="00851D64">
      <w:pPr>
        <w:jc w:val="right"/>
        <w:rPr>
          <w:rFonts w:ascii="標楷體" w:eastAsia="標楷體" w:hAnsi="標楷體"/>
        </w:rPr>
      </w:pPr>
      <w:r>
        <w:rPr>
          <w:rFonts w:ascii="標楷體" w:eastAsia="標楷體" w:hAnsi="標楷體" w:hint="eastAsia"/>
        </w:rPr>
        <w:t>111年1月19日校務會議通過</w:t>
      </w:r>
    </w:p>
    <w:p w:rsidR="00AA31E2" w:rsidRPr="00C82393" w:rsidRDefault="00AA31E2" w:rsidP="00851D64">
      <w:pPr>
        <w:spacing w:line="60" w:lineRule="auto"/>
        <w:jc w:val="both"/>
        <w:rPr>
          <w:rFonts w:ascii="標楷體" w:eastAsia="標楷體" w:hAnsi="標楷體"/>
        </w:rPr>
      </w:pPr>
      <w:r w:rsidRPr="00C82393">
        <w:rPr>
          <w:rFonts w:ascii="標楷體" w:eastAsia="標楷體" w:hAnsi="標楷體" w:hint="eastAsia"/>
        </w:rPr>
        <w:t>壹、依據：</w:t>
      </w:r>
    </w:p>
    <w:p w:rsidR="00AA31E2" w:rsidRPr="00C82393" w:rsidRDefault="00AA31E2" w:rsidP="00851D64">
      <w:pPr>
        <w:numPr>
          <w:ilvl w:val="0"/>
          <w:numId w:val="1"/>
        </w:numPr>
        <w:spacing w:line="60" w:lineRule="auto"/>
        <w:jc w:val="both"/>
        <w:rPr>
          <w:rFonts w:ascii="標楷體" w:eastAsia="標楷體" w:hAnsi="標楷體"/>
        </w:rPr>
      </w:pPr>
      <w:r w:rsidRPr="00C82393">
        <w:rPr>
          <w:rFonts w:ascii="標楷體" w:eastAsia="標楷體" w:hAnsi="標楷體" w:hint="eastAsia"/>
        </w:rPr>
        <w:t>100.6.22性別平等教育法第六條</w:t>
      </w:r>
    </w:p>
    <w:p w:rsidR="00AA31E2" w:rsidRPr="00C82393" w:rsidRDefault="00AA31E2" w:rsidP="00851D64">
      <w:pPr>
        <w:numPr>
          <w:ilvl w:val="0"/>
          <w:numId w:val="1"/>
        </w:numPr>
        <w:spacing w:line="60" w:lineRule="auto"/>
        <w:jc w:val="both"/>
        <w:rPr>
          <w:rFonts w:ascii="標楷體" w:eastAsia="標楷體" w:hAnsi="標楷體"/>
        </w:rPr>
      </w:pPr>
      <w:r w:rsidRPr="00C82393">
        <w:rPr>
          <w:rFonts w:ascii="標楷體" w:eastAsia="標楷體" w:hAnsi="標楷體" w:hint="eastAsia"/>
        </w:rPr>
        <w:t>94.6.13性別平等教育法施行細則第三條</w:t>
      </w:r>
    </w:p>
    <w:p w:rsidR="00AA31E2" w:rsidRDefault="00AA31E2" w:rsidP="00851D64">
      <w:pPr>
        <w:numPr>
          <w:ilvl w:val="0"/>
          <w:numId w:val="1"/>
        </w:numPr>
        <w:spacing w:line="60" w:lineRule="auto"/>
        <w:jc w:val="both"/>
        <w:rPr>
          <w:rFonts w:ascii="標楷體" w:eastAsia="標楷體" w:hAnsi="標楷體"/>
        </w:rPr>
      </w:pPr>
      <w:r w:rsidRPr="00C82393">
        <w:rPr>
          <w:rFonts w:ascii="標楷體" w:eastAsia="標楷體" w:hAnsi="標楷體" w:hint="eastAsia"/>
        </w:rPr>
        <w:t>101.5.24校園性侵害性騷擾或性霸凌防制準則</w:t>
      </w:r>
    </w:p>
    <w:p w:rsidR="00C82393" w:rsidRPr="00C82393" w:rsidRDefault="00C82393" w:rsidP="00851D64">
      <w:pPr>
        <w:numPr>
          <w:ilvl w:val="0"/>
          <w:numId w:val="1"/>
        </w:numPr>
        <w:spacing w:line="60" w:lineRule="auto"/>
        <w:jc w:val="both"/>
        <w:rPr>
          <w:rFonts w:ascii="標楷體" w:eastAsia="標楷體" w:hAnsi="標楷體"/>
        </w:rPr>
      </w:pPr>
      <w:r>
        <w:rPr>
          <w:rFonts w:ascii="標楷體" w:eastAsia="標楷體" w:hAnsi="標楷體" w:hint="eastAsia"/>
        </w:rPr>
        <w:t>107.12.28性別平等教育法第9條</w:t>
      </w:r>
    </w:p>
    <w:p w:rsidR="00AA31E2" w:rsidRPr="00C82393" w:rsidRDefault="00AA31E2" w:rsidP="00851D64">
      <w:pPr>
        <w:spacing w:line="60" w:lineRule="auto"/>
        <w:jc w:val="both"/>
        <w:rPr>
          <w:rFonts w:ascii="標楷體" w:eastAsia="標楷體" w:hAnsi="標楷體"/>
        </w:rPr>
      </w:pPr>
      <w:r w:rsidRPr="00C82393">
        <w:rPr>
          <w:rFonts w:ascii="標楷體" w:eastAsia="標楷體" w:hAnsi="標楷體" w:hint="eastAsia"/>
        </w:rPr>
        <w:t>貳、目標：</w:t>
      </w:r>
    </w:p>
    <w:p w:rsidR="00AA31E2" w:rsidRPr="00C82393" w:rsidRDefault="00AA31E2" w:rsidP="00851D64">
      <w:pPr>
        <w:numPr>
          <w:ilvl w:val="0"/>
          <w:numId w:val="2"/>
        </w:numPr>
        <w:spacing w:line="60" w:lineRule="auto"/>
        <w:jc w:val="both"/>
        <w:rPr>
          <w:rFonts w:ascii="標楷體" w:eastAsia="標楷體" w:hAnsi="標楷體"/>
        </w:rPr>
      </w:pPr>
      <w:r w:rsidRPr="00C82393">
        <w:rPr>
          <w:rFonts w:ascii="標楷體" w:eastAsia="標楷體" w:hAnsi="標楷體" w:hint="eastAsia"/>
        </w:rPr>
        <w:t>厚植性別平等教育，建立無性別歧視教育環境，以實現兩性平等為目標。</w:t>
      </w:r>
    </w:p>
    <w:p w:rsidR="00AA31E2" w:rsidRPr="00C82393" w:rsidRDefault="00AA31E2" w:rsidP="00851D64">
      <w:pPr>
        <w:numPr>
          <w:ilvl w:val="0"/>
          <w:numId w:val="2"/>
        </w:numPr>
        <w:spacing w:line="60" w:lineRule="auto"/>
        <w:jc w:val="both"/>
        <w:rPr>
          <w:rFonts w:ascii="標楷體" w:eastAsia="標楷體" w:hAnsi="標楷體"/>
        </w:rPr>
      </w:pPr>
      <w:r w:rsidRPr="00C82393">
        <w:rPr>
          <w:rFonts w:ascii="標楷體" w:eastAsia="標楷體" w:hAnsi="標楷體" w:hint="eastAsia"/>
        </w:rPr>
        <w:t>將性別教育內涵融入各科教學，協助學生建立相互尊重的觀念並學習不同性別的和諧相處方式。</w:t>
      </w:r>
    </w:p>
    <w:p w:rsidR="00AA31E2" w:rsidRPr="00C82393" w:rsidRDefault="00AA31E2" w:rsidP="00851D64">
      <w:pPr>
        <w:numPr>
          <w:ilvl w:val="0"/>
          <w:numId w:val="2"/>
        </w:numPr>
        <w:spacing w:line="60" w:lineRule="auto"/>
        <w:jc w:val="both"/>
        <w:rPr>
          <w:rFonts w:ascii="標楷體" w:eastAsia="標楷體" w:hAnsi="標楷體"/>
        </w:rPr>
      </w:pPr>
      <w:r w:rsidRPr="00C82393">
        <w:rPr>
          <w:rFonts w:ascii="標楷體" w:eastAsia="標楷體" w:hAnsi="標楷體" w:hint="eastAsia"/>
        </w:rPr>
        <w:t>提供性別平等之學習環境，建立安全之校園空間。</w:t>
      </w:r>
    </w:p>
    <w:p w:rsidR="00AA31E2" w:rsidRPr="00C82393" w:rsidRDefault="00AA31E2" w:rsidP="00851D64">
      <w:pPr>
        <w:numPr>
          <w:ilvl w:val="0"/>
          <w:numId w:val="2"/>
        </w:numPr>
        <w:spacing w:line="60" w:lineRule="auto"/>
        <w:jc w:val="both"/>
        <w:rPr>
          <w:rFonts w:ascii="標楷體" w:eastAsia="標楷體" w:hAnsi="標楷體"/>
        </w:rPr>
      </w:pPr>
      <w:r w:rsidRPr="00C82393">
        <w:rPr>
          <w:rFonts w:ascii="標楷體" w:eastAsia="標楷體" w:hAnsi="標楷體" w:hint="eastAsia"/>
        </w:rPr>
        <w:t>增進師生對性侵害暨性騷擾事件之預防與危機處理的能力且能有效尋求支援系統。</w:t>
      </w:r>
    </w:p>
    <w:p w:rsidR="00AA31E2" w:rsidRPr="00C82393" w:rsidRDefault="00AA31E2" w:rsidP="00851D64">
      <w:pPr>
        <w:spacing w:line="60" w:lineRule="auto"/>
        <w:jc w:val="both"/>
        <w:rPr>
          <w:rFonts w:ascii="標楷體" w:eastAsia="標楷體" w:hAnsi="標楷體"/>
        </w:rPr>
      </w:pPr>
      <w:r w:rsidRPr="00C82393">
        <w:rPr>
          <w:rFonts w:ascii="標楷體" w:eastAsia="標楷體" w:hAnsi="標楷體" w:hint="eastAsia"/>
        </w:rPr>
        <w:t>參、組織設立與職掌：</w:t>
      </w:r>
    </w:p>
    <w:p w:rsidR="00854845" w:rsidRPr="00851D64" w:rsidRDefault="00F86BBD" w:rsidP="00851D64">
      <w:pPr>
        <w:ind w:leftChars="59" w:left="1131" w:hangingChars="412" w:hanging="989"/>
        <w:jc w:val="both"/>
        <w:rPr>
          <w:rFonts w:ascii="標楷體" w:eastAsia="標楷體" w:hAnsi="標楷體" w:cs="細明體"/>
          <w:color w:val="000000" w:themeColor="text1"/>
        </w:rPr>
      </w:pPr>
      <w:r>
        <w:rPr>
          <w:rFonts w:ascii="標楷體" w:eastAsia="標楷體" w:hAnsi="標楷體" w:hint="eastAsia"/>
        </w:rPr>
        <w:t xml:space="preserve">    </w:t>
      </w:r>
      <w:r w:rsidR="00AA31E2" w:rsidRPr="00C82393">
        <w:rPr>
          <w:rFonts w:ascii="標楷體" w:eastAsia="標楷體" w:hAnsi="標楷體" w:hint="eastAsia"/>
        </w:rPr>
        <w:t>一、成立性別平等委員會，</w:t>
      </w:r>
      <w:r w:rsidR="00854845" w:rsidRPr="00851D64">
        <w:rPr>
          <w:rFonts w:ascii="標楷體" w:eastAsia="標楷體" w:hAnsi="標楷體" w:cs="細明體" w:hint="eastAsia"/>
          <w:color w:val="000000" w:themeColor="text1"/>
        </w:rPr>
        <w:t>本會設置</w:t>
      </w:r>
      <w:r w:rsidR="00854845" w:rsidRPr="00851D64">
        <w:rPr>
          <w:rFonts w:ascii="Times New Roman" w:eastAsia="標楷體" w:hAnsi="Times New Roman" w:cs="Times New Roman"/>
          <w:color w:val="000000" w:themeColor="text1"/>
        </w:rPr>
        <w:t>9</w:t>
      </w:r>
      <w:r w:rsidR="00CC140E" w:rsidRPr="00851D64">
        <w:rPr>
          <w:rFonts w:ascii="Times New Roman" w:eastAsia="標楷體" w:hAnsi="Times New Roman" w:cs="Times New Roman" w:hint="eastAsia"/>
          <w:color w:val="000000" w:themeColor="text1"/>
        </w:rPr>
        <w:t>~11</w:t>
      </w:r>
      <w:r w:rsidR="00854845" w:rsidRPr="00851D64">
        <w:rPr>
          <w:rFonts w:ascii="標楷體" w:eastAsia="標楷體" w:hAnsi="標楷體" w:cs="細明體" w:hint="eastAsia"/>
          <w:color w:val="000000" w:themeColor="text1"/>
        </w:rPr>
        <w:t>人，校長為</w:t>
      </w:r>
      <w:r w:rsidR="002B0D3C" w:rsidRPr="00851D64">
        <w:rPr>
          <w:rFonts w:ascii="標楷體" w:eastAsia="標楷體" w:hAnsi="標楷體" w:cs="細明體" w:hint="eastAsia"/>
          <w:color w:val="000000" w:themeColor="text1"/>
        </w:rPr>
        <w:t>主任委員</w:t>
      </w:r>
      <w:r w:rsidR="00854845" w:rsidRPr="00851D64">
        <w:rPr>
          <w:rFonts w:ascii="標楷體" w:eastAsia="標楷體" w:hAnsi="標楷體" w:cs="細明體" w:hint="eastAsia"/>
          <w:color w:val="000000" w:themeColor="text1"/>
        </w:rPr>
        <w:t>，學務主任為</w:t>
      </w:r>
      <w:r w:rsidR="008D01A5" w:rsidRPr="00851D64">
        <w:rPr>
          <w:rFonts w:ascii="標楷體" w:eastAsia="標楷體" w:hAnsi="標楷體" w:cs="細明體" w:hint="eastAsia"/>
          <w:color w:val="000000" w:themeColor="text1"/>
        </w:rPr>
        <w:t>執行秘書</w:t>
      </w:r>
      <w:r w:rsidR="002B0D3C" w:rsidRPr="00851D64">
        <w:rPr>
          <w:rFonts w:ascii="標楷體" w:eastAsia="標楷體" w:hAnsi="標楷體" w:cs="細明體" w:hint="eastAsia"/>
          <w:color w:val="000000" w:themeColor="text1"/>
        </w:rPr>
        <w:t>，</w:t>
      </w:r>
      <w:r w:rsidR="00854845" w:rsidRPr="00851D64">
        <w:rPr>
          <w:rFonts w:ascii="標楷體" w:eastAsia="標楷體" w:hAnsi="標楷體" w:cs="細明體" w:hint="eastAsia"/>
          <w:color w:val="000000" w:themeColor="text1"/>
        </w:rPr>
        <w:t>其中女性委員應占總委員數二分之一以上；職員代表1人、家長代表1人、教師代表</w:t>
      </w:r>
      <w:r w:rsidR="008D01A5" w:rsidRPr="00851D64">
        <w:rPr>
          <w:rFonts w:ascii="標楷體" w:eastAsia="標楷體" w:hAnsi="標楷體" w:cs="細明體" w:hint="eastAsia"/>
          <w:color w:val="000000" w:themeColor="text1"/>
        </w:rPr>
        <w:t>5</w:t>
      </w:r>
      <w:r w:rsidR="00CC140E" w:rsidRPr="00851D64">
        <w:rPr>
          <w:rFonts w:ascii="標楷體" w:eastAsia="標楷體" w:hAnsi="標楷體" w:cs="細明體" w:hint="eastAsia"/>
          <w:color w:val="000000" w:themeColor="text1"/>
        </w:rPr>
        <w:t>~7</w:t>
      </w:r>
      <w:r w:rsidR="00854845" w:rsidRPr="00851D64">
        <w:rPr>
          <w:rFonts w:ascii="標楷體" w:eastAsia="標楷體" w:hAnsi="標楷體" w:cs="細明體" w:hint="eastAsia"/>
          <w:color w:val="000000" w:themeColor="text1"/>
        </w:rPr>
        <w:t>人</w:t>
      </w:r>
      <w:r w:rsidR="002B0D3C" w:rsidRPr="00851D64">
        <w:rPr>
          <w:rFonts w:ascii="標楷體" w:eastAsia="標楷體" w:hAnsi="標楷體" w:cs="細明體" w:hint="eastAsia"/>
          <w:color w:val="000000" w:themeColor="text1"/>
        </w:rPr>
        <w:t>。</w:t>
      </w:r>
      <w:r w:rsidR="002135A5" w:rsidRPr="00851D64">
        <w:rPr>
          <w:rFonts w:ascii="標楷體" w:eastAsia="標楷體" w:hAnsi="標楷體" w:cs="細明體" w:hint="eastAsia"/>
          <w:color w:val="000000" w:themeColor="text1"/>
        </w:rPr>
        <w:t>委員人選由校長</w:t>
      </w:r>
      <w:r w:rsidR="001A7789" w:rsidRPr="00851D64">
        <w:rPr>
          <w:rFonts w:ascii="標楷體" w:eastAsia="標楷體" w:hAnsi="標楷體" w:cs="細明體" w:hint="eastAsia"/>
          <w:color w:val="000000" w:themeColor="text1"/>
        </w:rPr>
        <w:t>遴選之。</w:t>
      </w:r>
    </w:p>
    <w:p w:rsidR="002B0D3C" w:rsidRPr="00851D64" w:rsidRDefault="002B0D3C" w:rsidP="00851D64">
      <w:pPr>
        <w:pStyle w:val="a7"/>
        <w:spacing w:before="92"/>
        <w:ind w:left="1133" w:hangingChars="472" w:hanging="1133"/>
        <w:jc w:val="both"/>
        <w:rPr>
          <w:rFonts w:ascii="標楷體" w:eastAsia="標楷體" w:hAnsi="標楷體" w:cs="細明體"/>
          <w:color w:val="000000" w:themeColor="text1"/>
        </w:rPr>
      </w:pPr>
      <w:r w:rsidRPr="00851D64">
        <w:rPr>
          <w:rFonts w:ascii="標楷體" w:eastAsia="標楷體" w:hAnsi="標楷體" w:cs="細明體" w:hint="eastAsia"/>
          <w:color w:val="000000" w:themeColor="text1"/>
        </w:rPr>
        <w:t xml:space="preserve">     二、委員採任期制，任期一年，自每年8月1日起，至隔年7月31日止，期滿得續聘之。委員於任期期間因故出缺時，由主任委員補聘之，補聘委員其任期至原任期屆滿日為止。</w:t>
      </w:r>
    </w:p>
    <w:p w:rsidR="001A7789" w:rsidRPr="00851D64" w:rsidRDefault="001A7789" w:rsidP="00851D64">
      <w:pPr>
        <w:pStyle w:val="a7"/>
        <w:spacing w:before="92"/>
        <w:ind w:left="991" w:hangingChars="413" w:hanging="991"/>
        <w:jc w:val="both"/>
        <w:rPr>
          <w:rFonts w:ascii="標楷體" w:eastAsia="標楷體" w:hAnsi="標楷體" w:cs="細明體"/>
          <w:color w:val="000000" w:themeColor="text1"/>
        </w:rPr>
      </w:pPr>
      <w:r w:rsidRPr="00851D64">
        <w:rPr>
          <w:rFonts w:ascii="標楷體" w:eastAsia="標楷體" w:hAnsi="標楷體" w:cs="細明體" w:hint="eastAsia"/>
          <w:color w:val="000000" w:themeColor="text1"/>
        </w:rPr>
        <w:t xml:space="preserve">     三、本會委員</w:t>
      </w:r>
      <w:r w:rsidR="00E74739" w:rsidRPr="00851D64">
        <w:rPr>
          <w:rFonts w:ascii="標楷體" w:eastAsia="標楷體" w:hAnsi="標楷體" w:cs="細明體" w:hint="eastAsia"/>
          <w:color w:val="000000" w:themeColor="text1"/>
        </w:rPr>
        <w:t>每學期</w:t>
      </w:r>
      <w:r w:rsidR="000425F7" w:rsidRPr="00851D64">
        <w:rPr>
          <w:rFonts w:ascii="標楷體" w:eastAsia="標楷體" w:hAnsi="標楷體" w:cs="細明體" w:hint="eastAsia"/>
          <w:color w:val="000000" w:themeColor="text1"/>
        </w:rPr>
        <w:t>至</w:t>
      </w:r>
      <w:r w:rsidR="00E74739" w:rsidRPr="00851D64">
        <w:rPr>
          <w:rFonts w:ascii="標楷體" w:eastAsia="標楷體" w:hAnsi="標楷體" w:cs="細明體" w:hint="eastAsia"/>
          <w:color w:val="000000" w:themeColor="text1"/>
        </w:rPr>
        <w:t>少須召開一次會議，並由主任委員擔任召集人；主任委員缺席時，應指定委員一人代理之。</w:t>
      </w:r>
    </w:p>
    <w:p w:rsidR="00E74739" w:rsidRPr="00851D64" w:rsidRDefault="00E74739" w:rsidP="00851D64">
      <w:pPr>
        <w:pStyle w:val="a7"/>
        <w:spacing w:before="92"/>
        <w:ind w:left="991" w:hangingChars="413" w:hanging="991"/>
        <w:jc w:val="both"/>
        <w:rPr>
          <w:rFonts w:ascii="標楷體" w:eastAsia="標楷體" w:hAnsi="標楷體" w:cs="細明體"/>
          <w:color w:val="000000" w:themeColor="text1"/>
        </w:rPr>
      </w:pPr>
      <w:r w:rsidRPr="00851D64">
        <w:rPr>
          <w:rFonts w:ascii="標楷體" w:eastAsia="標楷體" w:hAnsi="標楷體" w:cs="細明體" w:hint="eastAsia"/>
          <w:color w:val="000000" w:themeColor="text1"/>
        </w:rPr>
        <w:t xml:space="preserve">     四、本會委員會議應有二分之一以上之出席，始得開會，若事涉及公益事件，應有三分之二以上之出席，始得開會。</w:t>
      </w:r>
    </w:p>
    <w:p w:rsidR="00E74739" w:rsidRPr="00851D64" w:rsidRDefault="00E74739" w:rsidP="00851D64">
      <w:pPr>
        <w:pStyle w:val="a7"/>
        <w:spacing w:before="92"/>
        <w:ind w:left="120"/>
        <w:jc w:val="both"/>
        <w:rPr>
          <w:rFonts w:ascii="標楷體" w:eastAsia="標楷體" w:hAnsi="標楷體" w:cs="細明體"/>
          <w:color w:val="000000" w:themeColor="text1"/>
        </w:rPr>
      </w:pPr>
      <w:r w:rsidRPr="00851D64">
        <w:rPr>
          <w:rFonts w:ascii="標楷體" w:eastAsia="標楷體" w:hAnsi="標楷體" w:cs="細明體" w:hint="eastAsia"/>
          <w:color w:val="000000" w:themeColor="text1"/>
        </w:rPr>
        <w:t xml:space="preserve">     五、本會委員職責如下：</w:t>
      </w:r>
    </w:p>
    <w:p w:rsidR="00AA31E2" w:rsidRPr="00C82393" w:rsidRDefault="00E74739" w:rsidP="00851D64">
      <w:pPr>
        <w:pStyle w:val="a7"/>
        <w:spacing w:before="92"/>
        <w:ind w:left="120"/>
        <w:jc w:val="both"/>
        <w:rPr>
          <w:rFonts w:ascii="標楷體" w:eastAsia="標楷體" w:hAnsi="標楷體"/>
        </w:rPr>
      </w:pPr>
      <w:r>
        <w:rPr>
          <w:rFonts w:ascii="標楷體" w:eastAsia="標楷體" w:hAnsi="標楷體" w:hint="eastAsia"/>
        </w:rPr>
        <w:t xml:space="preserve">          1</w:t>
      </w:r>
      <w:r w:rsidR="00AA31E2" w:rsidRPr="00C82393">
        <w:rPr>
          <w:rFonts w:ascii="標楷體" w:eastAsia="標楷體" w:hAnsi="標楷體" w:hint="eastAsia"/>
        </w:rPr>
        <w:t>.督促輔導教師進行有關課程之研討。</w:t>
      </w:r>
    </w:p>
    <w:p w:rsidR="00AA31E2" w:rsidRPr="00C82393" w:rsidRDefault="00E74739" w:rsidP="00851D64">
      <w:pPr>
        <w:jc w:val="both"/>
        <w:rPr>
          <w:rFonts w:ascii="標楷體" w:eastAsia="標楷體" w:hAnsi="標楷體"/>
        </w:rPr>
      </w:pPr>
      <w:r>
        <w:rPr>
          <w:rFonts w:ascii="標楷體" w:eastAsia="標楷體" w:hAnsi="標楷體" w:hint="eastAsia"/>
        </w:rPr>
        <w:t xml:space="preserve">           2</w:t>
      </w:r>
      <w:r w:rsidR="00AA31E2" w:rsidRPr="00C82393">
        <w:rPr>
          <w:rFonts w:ascii="標楷體" w:eastAsia="標楷體" w:hAnsi="標楷體" w:hint="eastAsia"/>
        </w:rPr>
        <w:t>.受理教職員工生性侵害性騷擾或性霸凌防治之諮詢。</w:t>
      </w:r>
    </w:p>
    <w:p w:rsidR="00AA31E2" w:rsidRPr="00C82393" w:rsidRDefault="00E74739" w:rsidP="00851D64">
      <w:pPr>
        <w:jc w:val="both"/>
        <w:rPr>
          <w:rFonts w:ascii="標楷體" w:eastAsia="標楷體" w:hAnsi="標楷體"/>
        </w:rPr>
      </w:pPr>
      <w:r>
        <w:rPr>
          <w:rFonts w:ascii="標楷體" w:eastAsia="標楷體" w:hAnsi="標楷體" w:hint="eastAsia"/>
        </w:rPr>
        <w:t xml:space="preserve">           3</w:t>
      </w:r>
      <w:r w:rsidR="00AA31E2" w:rsidRPr="00C82393">
        <w:rPr>
          <w:rFonts w:ascii="標楷體" w:eastAsia="標楷體" w:hAnsi="標楷體" w:hint="eastAsia"/>
        </w:rPr>
        <w:t>.轉介與輔導受性侵害性騷擾或性霸凌之個案。</w:t>
      </w:r>
    </w:p>
    <w:p w:rsidR="00AA31E2" w:rsidRPr="00C82393" w:rsidRDefault="00E74739" w:rsidP="00851D64">
      <w:pPr>
        <w:jc w:val="both"/>
        <w:rPr>
          <w:rFonts w:ascii="標楷體" w:eastAsia="標楷體" w:hAnsi="標楷體"/>
        </w:rPr>
      </w:pPr>
      <w:r>
        <w:rPr>
          <w:rFonts w:ascii="標楷體" w:eastAsia="標楷體" w:hAnsi="標楷體" w:hint="eastAsia"/>
        </w:rPr>
        <w:t xml:space="preserve">           4</w:t>
      </w:r>
      <w:r w:rsidR="00AA31E2" w:rsidRPr="00C82393">
        <w:rPr>
          <w:rFonts w:ascii="標楷體" w:eastAsia="標楷體" w:hAnsi="標楷體" w:hint="eastAsia"/>
        </w:rPr>
        <w:t>.113責任通報</w:t>
      </w:r>
    </w:p>
    <w:p w:rsidR="006B59B3" w:rsidRPr="00C82393" w:rsidRDefault="00E74739" w:rsidP="00851D64">
      <w:pPr>
        <w:ind w:left="1560" w:hangingChars="650" w:hanging="1560"/>
        <w:jc w:val="both"/>
        <w:rPr>
          <w:rFonts w:ascii="標楷體" w:eastAsia="標楷體" w:hAnsi="標楷體"/>
        </w:rPr>
      </w:pPr>
      <w:r>
        <w:rPr>
          <w:rFonts w:ascii="標楷體" w:eastAsia="標楷體" w:hAnsi="標楷體" w:hint="eastAsia"/>
        </w:rPr>
        <w:t xml:space="preserve">           5</w:t>
      </w:r>
      <w:r w:rsidR="00AA31E2" w:rsidRPr="00C82393">
        <w:rPr>
          <w:rFonts w:ascii="標楷體" w:eastAsia="標楷體" w:hAnsi="標楷體" w:hint="eastAsia"/>
        </w:rPr>
        <w:t>.</w:t>
      </w:r>
      <w:r w:rsidR="00AA31E2" w:rsidRPr="00C82393">
        <w:rPr>
          <w:rFonts w:ascii="標楷體" w:eastAsia="標楷體" w:hAnsi="標楷體" w:hint="eastAsia"/>
          <w:b/>
        </w:rPr>
        <w:t>受理申</w:t>
      </w:r>
      <w:r w:rsidR="00C7335A">
        <w:rPr>
          <w:rFonts w:ascii="標楷體" w:eastAsia="標楷體" w:hAnsi="標楷體" w:hint="eastAsia"/>
          <w:b/>
        </w:rPr>
        <w:t>復</w:t>
      </w:r>
      <w:r w:rsidR="00AA31E2" w:rsidRPr="00C82393">
        <w:rPr>
          <w:rFonts w:ascii="標楷體" w:eastAsia="標楷體" w:hAnsi="標楷體" w:hint="eastAsia"/>
          <w:b/>
        </w:rPr>
        <w:t>(</w:t>
      </w:r>
      <w:r w:rsidR="00AA31E2" w:rsidRPr="00C82393">
        <w:rPr>
          <w:rFonts w:ascii="標楷體" w:eastAsia="標楷體" w:hAnsi="標楷體" w:hint="eastAsia"/>
        </w:rPr>
        <w:t>根據101.5.24校園性侵害性騷擾或性霸凌防制準則第三十一條)</w:t>
      </w:r>
    </w:p>
    <w:p w:rsidR="00854845" w:rsidRDefault="00854845" w:rsidP="00851D64">
      <w:pPr>
        <w:pStyle w:val="a7"/>
        <w:spacing w:before="92" w:line="60" w:lineRule="auto"/>
        <w:ind w:left="120"/>
        <w:jc w:val="both"/>
        <w:rPr>
          <w:rFonts w:ascii="標楷體" w:eastAsia="標楷體" w:hAnsi="標楷體"/>
        </w:rPr>
      </w:pPr>
      <w:r>
        <w:rPr>
          <w:rFonts w:ascii="標楷體" w:eastAsia="標楷體" w:hAnsi="標楷體" w:cs="細明體" w:hint="eastAsia"/>
        </w:rPr>
        <w:t>肆、策略</w:t>
      </w:r>
    </w:p>
    <w:p w:rsidR="00854845" w:rsidRDefault="00854845" w:rsidP="00851D64">
      <w:pPr>
        <w:pStyle w:val="a7"/>
        <w:spacing w:before="41" w:line="60" w:lineRule="auto"/>
        <w:ind w:left="1080" w:right="155" w:hanging="480"/>
        <w:jc w:val="both"/>
        <w:rPr>
          <w:rFonts w:ascii="標楷體" w:eastAsia="標楷體" w:hAnsi="標楷體"/>
        </w:rPr>
      </w:pPr>
      <w:r>
        <w:rPr>
          <w:rFonts w:ascii="標楷體" w:eastAsia="標楷體" w:hAnsi="標楷體" w:cs="細明體" w:hint="eastAsia"/>
        </w:rPr>
        <w:t>一、強化性別平等教育委員會的組織與運作；提升教育人員性平教育知能；整合相關法令以發揮綜合效果。</w:t>
      </w:r>
    </w:p>
    <w:p w:rsidR="00854845" w:rsidRDefault="00854845" w:rsidP="00851D64">
      <w:pPr>
        <w:pStyle w:val="a7"/>
        <w:spacing w:line="60" w:lineRule="auto"/>
        <w:ind w:left="1080" w:right="220" w:hanging="480"/>
        <w:jc w:val="both"/>
        <w:rPr>
          <w:rFonts w:ascii="標楷體" w:eastAsia="標楷體" w:hAnsi="標楷體"/>
        </w:rPr>
      </w:pPr>
      <w:r>
        <w:rPr>
          <w:rFonts w:ascii="標楷體" w:eastAsia="標楷體" w:hAnsi="標楷體" w:cs="細明體" w:hint="eastAsia"/>
          <w:spacing w:val="-5"/>
        </w:rPr>
        <w:lastRenderedPageBreak/>
        <w:t>二</w:t>
      </w:r>
      <w:r>
        <w:rPr>
          <w:rFonts w:ascii="標楷體" w:eastAsia="標楷體" w:hAnsi="標楷體" w:hint="eastAsia"/>
          <w:spacing w:val="-5"/>
        </w:rPr>
        <w:t>、</w:t>
      </w:r>
      <w:r>
        <w:rPr>
          <w:rFonts w:ascii="標楷體" w:eastAsia="標楷體" w:hAnsi="標楷體" w:cs="細明體" w:hint="eastAsia"/>
          <w:spacing w:val="-5"/>
        </w:rPr>
        <w:t>協調整合資源與環境；爭取充足的經費；建立校園環境安全檢視指標</w:t>
      </w:r>
      <w:r>
        <w:rPr>
          <w:rFonts w:ascii="標楷體" w:eastAsia="標楷體" w:hAnsi="標楷體" w:cs="細明體" w:hint="eastAsia"/>
          <w:spacing w:val="-9"/>
        </w:rPr>
        <w:t>；督導改善校園環境以符合檢視指標；建立學校與社區合作機制，提升周邊安全性。</w:t>
      </w:r>
    </w:p>
    <w:p w:rsidR="00854845" w:rsidRDefault="00854845" w:rsidP="00851D64">
      <w:pPr>
        <w:pStyle w:val="a7"/>
        <w:spacing w:line="60" w:lineRule="auto"/>
        <w:ind w:left="600"/>
        <w:jc w:val="both"/>
        <w:rPr>
          <w:rFonts w:ascii="標楷體" w:eastAsia="標楷體" w:hAnsi="標楷體"/>
        </w:rPr>
      </w:pPr>
      <w:r>
        <w:rPr>
          <w:rFonts w:ascii="標楷體" w:eastAsia="標楷體" w:hAnsi="標楷體" w:cs="細明體" w:hint="eastAsia"/>
        </w:rPr>
        <w:t>三、系統規劃性平課程與有效教學；落實教育輔導。</w:t>
      </w:r>
    </w:p>
    <w:p w:rsidR="00854845" w:rsidRDefault="00854845" w:rsidP="00851D64">
      <w:pPr>
        <w:pStyle w:val="a7"/>
        <w:spacing w:line="60" w:lineRule="auto"/>
        <w:ind w:left="600"/>
        <w:jc w:val="both"/>
        <w:rPr>
          <w:rFonts w:ascii="標楷體" w:eastAsia="標楷體" w:hAnsi="標楷體"/>
        </w:rPr>
      </w:pPr>
      <w:r>
        <w:rPr>
          <w:rFonts w:ascii="標楷體" w:eastAsia="標楷體" w:hAnsi="標楷體" w:cs="細明體" w:hint="eastAsia"/>
        </w:rPr>
        <w:t>四</w:t>
      </w:r>
      <w:r>
        <w:rPr>
          <w:rFonts w:ascii="標楷體" w:eastAsia="標楷體" w:hAnsi="標楷體" w:hint="eastAsia"/>
        </w:rPr>
        <w:t>、</w:t>
      </w:r>
      <w:r>
        <w:rPr>
          <w:rFonts w:ascii="標楷體" w:eastAsia="標楷體" w:hAnsi="標楷體" w:cs="細明體" w:hint="eastAsia"/>
        </w:rPr>
        <w:t>強化學校性平事件防治處理機能。</w:t>
      </w:r>
    </w:p>
    <w:p w:rsidR="00854845" w:rsidRDefault="00854845" w:rsidP="00851D64">
      <w:pPr>
        <w:pStyle w:val="a7"/>
        <w:spacing w:line="60" w:lineRule="auto"/>
        <w:ind w:left="1080"/>
        <w:jc w:val="both"/>
        <w:rPr>
          <w:rFonts w:ascii="標楷體" w:eastAsia="標楷體" w:hAnsi="標楷體"/>
        </w:rPr>
      </w:pPr>
      <w:r>
        <w:rPr>
          <w:rFonts w:ascii="標楷體" w:eastAsia="標楷體" w:hAnsi="標楷體" w:hint="eastAsia"/>
        </w:rPr>
        <w:t>1.</w:t>
      </w:r>
      <w:r>
        <w:rPr>
          <w:rFonts w:ascii="標楷體" w:eastAsia="標楷體" w:hAnsi="標楷體" w:cs="細明體" w:hint="eastAsia"/>
        </w:rPr>
        <w:t>初級防治：以預防宣導為主。</w:t>
      </w:r>
    </w:p>
    <w:p w:rsidR="00854845" w:rsidRDefault="00854845" w:rsidP="00851D64">
      <w:pPr>
        <w:pStyle w:val="a7"/>
        <w:spacing w:line="60" w:lineRule="auto"/>
        <w:ind w:left="1080"/>
        <w:jc w:val="both"/>
        <w:rPr>
          <w:rFonts w:ascii="標楷體" w:eastAsia="標楷體" w:hAnsi="標楷體"/>
        </w:rPr>
      </w:pPr>
      <w:r>
        <w:rPr>
          <w:rFonts w:ascii="標楷體" w:eastAsia="標楷體" w:hAnsi="標楷體" w:hint="eastAsia"/>
        </w:rPr>
        <w:t>2.</w:t>
      </w:r>
      <w:r>
        <w:rPr>
          <w:rFonts w:ascii="標楷體" w:eastAsia="標楷體" w:hAnsi="標楷體" w:cs="細明體" w:hint="eastAsia"/>
        </w:rPr>
        <w:t>二級防治：以提升事件處理效能為主。</w:t>
      </w:r>
    </w:p>
    <w:p w:rsidR="00854845" w:rsidRDefault="00854845" w:rsidP="00851D64">
      <w:pPr>
        <w:pStyle w:val="a7"/>
        <w:spacing w:line="60" w:lineRule="auto"/>
        <w:ind w:left="1080"/>
        <w:jc w:val="both"/>
        <w:rPr>
          <w:rFonts w:ascii="標楷體" w:eastAsia="標楷體" w:hAnsi="標楷體"/>
        </w:rPr>
      </w:pPr>
      <w:r>
        <w:rPr>
          <w:rFonts w:ascii="標楷體" w:eastAsia="標楷體" w:hAnsi="標楷體" w:hint="eastAsia"/>
        </w:rPr>
        <w:t>3.</w:t>
      </w:r>
      <w:r>
        <w:rPr>
          <w:rFonts w:ascii="標楷體" w:eastAsia="標楷體" w:hAnsi="標楷體" w:cs="細明體" w:hint="eastAsia"/>
        </w:rPr>
        <w:t>三級防治：以追蹤輔導與再教育為主。</w:t>
      </w:r>
    </w:p>
    <w:p w:rsidR="00AA31E2" w:rsidRPr="00C82393" w:rsidRDefault="00AA31E2" w:rsidP="00851D64">
      <w:pPr>
        <w:spacing w:line="60" w:lineRule="auto"/>
        <w:rPr>
          <w:rFonts w:ascii="標楷體" w:eastAsia="標楷體" w:hAnsi="標楷體"/>
        </w:rPr>
      </w:pPr>
    </w:p>
    <w:p w:rsidR="00F517E5" w:rsidRPr="00C82393" w:rsidRDefault="00F517E5">
      <w:pPr>
        <w:widowControl/>
        <w:rPr>
          <w:rFonts w:ascii="標楷體" w:eastAsia="標楷體" w:hAnsi="標楷體"/>
        </w:rPr>
      </w:pPr>
    </w:p>
    <w:sectPr w:rsidR="00F517E5" w:rsidRPr="00C823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8D" w:rsidRDefault="00C5518D" w:rsidP="00D7524C">
      <w:r>
        <w:separator/>
      </w:r>
    </w:p>
  </w:endnote>
  <w:endnote w:type="continuationSeparator" w:id="0">
    <w:p w:rsidR="00C5518D" w:rsidRDefault="00C5518D" w:rsidP="00D7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8D" w:rsidRDefault="00C5518D" w:rsidP="00D7524C">
      <w:r>
        <w:separator/>
      </w:r>
    </w:p>
  </w:footnote>
  <w:footnote w:type="continuationSeparator" w:id="0">
    <w:p w:rsidR="00C5518D" w:rsidRDefault="00C5518D" w:rsidP="00D7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DD0"/>
    <w:multiLevelType w:val="hybridMultilevel"/>
    <w:tmpl w:val="32869B7A"/>
    <w:lvl w:ilvl="0" w:tplc="E6668B3E">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8E84155"/>
    <w:multiLevelType w:val="multilevel"/>
    <w:tmpl w:val="1A22D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C4A7F"/>
    <w:multiLevelType w:val="hybridMultilevel"/>
    <w:tmpl w:val="C8444FE2"/>
    <w:lvl w:ilvl="0" w:tplc="4082298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B5529AD"/>
    <w:multiLevelType w:val="hybridMultilevel"/>
    <w:tmpl w:val="277E66D6"/>
    <w:lvl w:ilvl="0" w:tplc="B87E4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15C14"/>
    <w:multiLevelType w:val="multilevel"/>
    <w:tmpl w:val="81366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A7C45"/>
    <w:multiLevelType w:val="hybridMultilevel"/>
    <w:tmpl w:val="C8444FE2"/>
    <w:lvl w:ilvl="0" w:tplc="4082298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E2"/>
    <w:rsid w:val="00014B47"/>
    <w:rsid w:val="000425F7"/>
    <w:rsid w:val="000E31BF"/>
    <w:rsid w:val="001A7789"/>
    <w:rsid w:val="001E1068"/>
    <w:rsid w:val="002135A5"/>
    <w:rsid w:val="002B0D3C"/>
    <w:rsid w:val="002E0707"/>
    <w:rsid w:val="004268FB"/>
    <w:rsid w:val="00481F46"/>
    <w:rsid w:val="004C1539"/>
    <w:rsid w:val="004E56B3"/>
    <w:rsid w:val="004F5757"/>
    <w:rsid w:val="00562544"/>
    <w:rsid w:val="00562DFF"/>
    <w:rsid w:val="005A0BB8"/>
    <w:rsid w:val="006B59B3"/>
    <w:rsid w:val="00734ACA"/>
    <w:rsid w:val="007B0339"/>
    <w:rsid w:val="00851D64"/>
    <w:rsid w:val="00854845"/>
    <w:rsid w:val="008D01A5"/>
    <w:rsid w:val="009375FA"/>
    <w:rsid w:val="009A08CD"/>
    <w:rsid w:val="009B5AFC"/>
    <w:rsid w:val="009C5031"/>
    <w:rsid w:val="00A17A3C"/>
    <w:rsid w:val="00AA31E2"/>
    <w:rsid w:val="00B66BF7"/>
    <w:rsid w:val="00C5518D"/>
    <w:rsid w:val="00C7335A"/>
    <w:rsid w:val="00C82393"/>
    <w:rsid w:val="00CC140E"/>
    <w:rsid w:val="00D72E7E"/>
    <w:rsid w:val="00D7524C"/>
    <w:rsid w:val="00E74739"/>
    <w:rsid w:val="00EF6646"/>
    <w:rsid w:val="00F00C09"/>
    <w:rsid w:val="00F10558"/>
    <w:rsid w:val="00F517E5"/>
    <w:rsid w:val="00F86BBD"/>
    <w:rsid w:val="00FE147A"/>
    <w:rsid w:val="00FE7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7E935-1665-47CE-88C0-D2E65586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A31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A31E2"/>
    <w:rPr>
      <w:rFonts w:ascii="細明體" w:eastAsia="細明體" w:hAnsi="細明體" w:cs="細明體"/>
      <w:kern w:val="0"/>
      <w:szCs w:val="24"/>
    </w:rPr>
  </w:style>
  <w:style w:type="paragraph" w:styleId="Web">
    <w:name w:val="Normal (Web)"/>
    <w:basedOn w:val="a"/>
    <w:uiPriority w:val="99"/>
    <w:unhideWhenUsed/>
    <w:rsid w:val="00F517E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7524C"/>
    <w:pPr>
      <w:tabs>
        <w:tab w:val="center" w:pos="4153"/>
        <w:tab w:val="right" w:pos="8306"/>
      </w:tabs>
      <w:snapToGrid w:val="0"/>
    </w:pPr>
    <w:rPr>
      <w:sz w:val="20"/>
      <w:szCs w:val="20"/>
    </w:rPr>
  </w:style>
  <w:style w:type="character" w:customStyle="1" w:styleId="a4">
    <w:name w:val="頁首 字元"/>
    <w:basedOn w:val="a0"/>
    <w:link w:val="a3"/>
    <w:uiPriority w:val="99"/>
    <w:rsid w:val="00D7524C"/>
    <w:rPr>
      <w:sz w:val="20"/>
      <w:szCs w:val="20"/>
    </w:rPr>
  </w:style>
  <w:style w:type="paragraph" w:styleId="a5">
    <w:name w:val="footer"/>
    <w:basedOn w:val="a"/>
    <w:link w:val="a6"/>
    <w:uiPriority w:val="99"/>
    <w:unhideWhenUsed/>
    <w:rsid w:val="00D7524C"/>
    <w:pPr>
      <w:tabs>
        <w:tab w:val="center" w:pos="4153"/>
        <w:tab w:val="right" w:pos="8306"/>
      </w:tabs>
      <w:snapToGrid w:val="0"/>
    </w:pPr>
    <w:rPr>
      <w:sz w:val="20"/>
      <w:szCs w:val="20"/>
    </w:rPr>
  </w:style>
  <w:style w:type="character" w:customStyle="1" w:styleId="a6">
    <w:name w:val="頁尾 字元"/>
    <w:basedOn w:val="a0"/>
    <w:link w:val="a5"/>
    <w:uiPriority w:val="99"/>
    <w:rsid w:val="00D7524C"/>
    <w:rPr>
      <w:sz w:val="20"/>
      <w:szCs w:val="20"/>
    </w:rPr>
  </w:style>
  <w:style w:type="paragraph" w:styleId="a7">
    <w:name w:val="Body Text"/>
    <w:basedOn w:val="a"/>
    <w:link w:val="a8"/>
    <w:uiPriority w:val="99"/>
    <w:unhideWhenUsed/>
    <w:rsid w:val="00F86BBD"/>
    <w:pPr>
      <w:autoSpaceDE w:val="0"/>
      <w:autoSpaceDN w:val="0"/>
    </w:pPr>
    <w:rPr>
      <w:rFonts w:ascii="Noto Sans Mono CJK JP Regular" w:eastAsia="新細明體" w:hAnsi="Noto Sans Mono CJK JP Regular" w:cs="Noto Sans Mono CJK JP Regular"/>
      <w:kern w:val="0"/>
      <w:szCs w:val="24"/>
      <w:lang w:val="zh-TW"/>
    </w:rPr>
  </w:style>
  <w:style w:type="character" w:customStyle="1" w:styleId="a8">
    <w:name w:val="本文 字元"/>
    <w:basedOn w:val="a0"/>
    <w:link w:val="a7"/>
    <w:uiPriority w:val="99"/>
    <w:rsid w:val="00F86BBD"/>
    <w:rPr>
      <w:rFonts w:ascii="Noto Sans Mono CJK JP Regular" w:eastAsia="新細明體" w:hAnsi="Noto Sans Mono CJK JP Regular" w:cs="Noto Sans Mono CJK JP Regular"/>
      <w:kern w:val="0"/>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08149">
      <w:bodyDiv w:val="1"/>
      <w:marLeft w:val="0"/>
      <w:marRight w:val="0"/>
      <w:marTop w:val="0"/>
      <w:marBottom w:val="0"/>
      <w:divBdr>
        <w:top w:val="none" w:sz="0" w:space="0" w:color="auto"/>
        <w:left w:val="none" w:sz="0" w:space="0" w:color="auto"/>
        <w:bottom w:val="none" w:sz="0" w:space="0" w:color="auto"/>
        <w:right w:val="none" w:sz="0" w:space="0" w:color="auto"/>
      </w:divBdr>
    </w:div>
    <w:div w:id="791095317">
      <w:bodyDiv w:val="1"/>
      <w:marLeft w:val="0"/>
      <w:marRight w:val="0"/>
      <w:marTop w:val="0"/>
      <w:marBottom w:val="0"/>
      <w:divBdr>
        <w:top w:val="none" w:sz="0" w:space="0" w:color="auto"/>
        <w:left w:val="none" w:sz="0" w:space="0" w:color="auto"/>
        <w:bottom w:val="none" w:sz="0" w:space="0" w:color="auto"/>
        <w:right w:val="none" w:sz="0" w:space="0" w:color="auto"/>
      </w:divBdr>
    </w:div>
    <w:div w:id="7990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ldm</cp:lastModifiedBy>
  <cp:revision>14</cp:revision>
  <cp:lastPrinted>2018-08-30T00:29:00Z</cp:lastPrinted>
  <dcterms:created xsi:type="dcterms:W3CDTF">2021-11-09T00:49:00Z</dcterms:created>
  <dcterms:modified xsi:type="dcterms:W3CDTF">2023-10-26T05:21:00Z</dcterms:modified>
</cp:coreProperties>
</file>